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  <w:lang w:val="en-US" w:eastAsia="zh-CN"/>
        </w:rPr>
        <w:t xml:space="preserve">Supplemental </w:t>
      </w:r>
      <w:r>
        <w:rPr>
          <w:rFonts w:ascii="Times New Roman" w:hAnsi="Times New Roman"/>
          <w:sz w:val="24"/>
        </w:rPr>
        <w:t xml:space="preserve">Table </w:t>
      </w:r>
      <w:bookmarkStart w:id="0" w:name="_GoBack"/>
      <w:bookmarkEnd w:id="0"/>
      <w:r>
        <w:rPr>
          <w:rFonts w:ascii="Times New Roman" w:hAnsi="Times New Roman"/>
          <w:sz w:val="24"/>
        </w:rPr>
        <w:t>1</w:t>
      </w:r>
      <w:r>
        <w:rPr>
          <w:rFonts w:hint="eastAsia"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Demographics and </w:t>
      </w:r>
      <w:r>
        <w:rPr>
          <w:rFonts w:hint="eastAsia"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linicopathologic </w:t>
      </w:r>
      <w:r>
        <w:rPr>
          <w:rFonts w:hint="eastAsia"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haracteristics of </w:t>
      </w:r>
      <w:r>
        <w:rPr>
          <w:rFonts w:hint="eastAsia" w:ascii="Times New Roman" w:hAnsi="Times New Roman"/>
          <w:sz w:val="24"/>
        </w:rPr>
        <w:t>study participants</w:t>
      </w:r>
    </w:p>
    <w:tbl>
      <w:tblPr>
        <w:tblStyle w:val="3"/>
        <w:tblW w:w="11385" w:type="dxa"/>
        <w:tblInd w:w="-1607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5"/>
        <w:gridCol w:w="2520"/>
        <w:gridCol w:w="2579"/>
        <w:gridCol w:w="2502"/>
        <w:gridCol w:w="889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Variables</w:t>
            </w:r>
          </w:p>
        </w:tc>
        <w:tc>
          <w:tcPr>
            <w:tcW w:w="2520" w:type="dxa"/>
            <w:tcBorders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Training Cohort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(n=900)</w:t>
            </w:r>
          </w:p>
        </w:tc>
        <w:tc>
          <w:tcPr>
            <w:tcW w:w="2579" w:type="dxa"/>
            <w:tcBorders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Internal validation Cohort (n=300)</w:t>
            </w:r>
          </w:p>
        </w:tc>
        <w:tc>
          <w:tcPr>
            <w:tcW w:w="2502" w:type="dxa"/>
            <w:tcBorders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External validation Cohort (n=387)</w:t>
            </w:r>
          </w:p>
        </w:tc>
        <w:tc>
          <w:tcPr>
            <w:tcW w:w="889" w:type="dxa"/>
            <w:tcBorders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</w:t>
            </w:r>
            <w:r>
              <w:rPr>
                <w:rStyle w:val="5"/>
                <w:rFonts w:ascii="Times New Roman" w:hAnsi="Times New Roman" w:cs="Times New Roman"/>
                <w:b w:val="0"/>
                <w:sz w:val="24"/>
                <w:szCs w:val="24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Age (years)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49 (42, 58)</w:t>
            </w:r>
          </w:p>
        </w:tc>
        <w:tc>
          <w:tcPr>
            <w:tcW w:w="257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49 (41, 55)</w:t>
            </w:r>
          </w:p>
        </w:tc>
        <w:tc>
          <w:tcPr>
            <w:tcW w:w="2502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52 (45, 59)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Sex, Male / Female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782 (86.9) / 118 (13.1)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261 (87.0) / 39 (13.0)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344 (88.9) / 43 (1.11)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Height (cm)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166 (161, 170)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165 (160, 170)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165 (161, 170)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0.936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Weight (kg)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61 (55, 68)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60 (54, 67)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60 (54,69)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0.540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BMI (kg/m</w:t>
            </w:r>
            <w:r>
              <w:rPr>
                <w:rFonts w:ascii="Times New Roman" w:hAnsi="Times New Roman"/>
                <w:color w:val="000000"/>
                <w:kern w:val="0"/>
                <w:sz w:val="24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22.3 (20.0, 24.4)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21.8 (20.0, 24.5)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22.1 (20.1, 24.5)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0.540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Hypertension, Yes / No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67 (7.4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833 (92.6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19 (6.3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281 (93.7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54 (14.0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333 (86.0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Diabetes, Yes / No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83 (9.2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817 (90.8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21 (7.0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279 (93.0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29 (7.5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358 (92.5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0.373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HB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Ag, Positive / Negative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259 (28.8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641 (71.2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81 (27.0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219 (73.0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90 (23.3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297 (96.7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0.124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HBV-DNA, ≥2000 / &lt;2000 (IU/ml)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555 (61.7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345 (38.4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179 (59.7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121 (40.3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175 (45.2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212 (54.8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PLT (× 10</w:t>
            </w:r>
            <w:r>
              <w:rPr>
                <w:rFonts w:ascii="Times New Roman" w:hAnsi="Times New Roman"/>
                <w:color w:val="000000"/>
                <w:kern w:val="0"/>
                <w:sz w:val="24"/>
                <w:vertAlign w:val="superscript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/L)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199.9 (155.0, 260.0)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207.1 (160.0, 261.7)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149.0 (100.0, 193.0)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il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(μmol/L)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12.9 (9.5, 17.2)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13.0 (9.7, 17.8)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14.2 (10.7, 18.9)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PA (mg/L)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178.0 (135.0, 224.0)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173.0 (130.0, 217.0)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202.0 (150.0, 244.0)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ALB (g/L)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39.6 ± 4.6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39.3 ± 4.8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41.5 ± 4.4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ALT (U/L)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36.0 (24.0, 52.5)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34.0 (25.0, 49.0)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34.0 (24.0, 54.7)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0.788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AST (U/L)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40.0 (30.0, 58.0)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38.0 (29.0, 55.0)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34.1 (26.0, 54.0)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CR (μmol/L)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77.0 (68.0, 88.0)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79.0 (68.0, 89.0)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69.0 (61.0, 78.0)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BUN (mmol/L)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4.9 (4.1, 5.9)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5.0 (4.2, 5.9)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5.4 (4.5, 6.4)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PT (s)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12.8 (12.1, 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.6)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13.0 (12.2, 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.0)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12.0 (11.5, 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INR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1.05 (0.98, 1.13)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1.06 (1.00, 1.16)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1.01 (0.96, 1.07)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AFP ≥400 / &lt;400 (ng/mL) 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388 (43.1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512 (56.9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142 (47.3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158 (52.7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130 (33.6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257 (66.4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CSPH, Yes / NO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75 (8.3) / 825 (91.7)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31 (10.3) / 269 (89.7)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95 (24.5) / 292 (75.5)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Child-Pugh grade A / B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 xml:space="preserve"> (7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score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858 (95.3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42 (4.7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) 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284 (94.7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16 (5.3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) 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373 (96.4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14 (3.6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0.541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MELD score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 (2, 7)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 (3, 7)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 (2, 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ALBI score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-2.63 ± 0.41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-2.61 ± 0.45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-2.76 ± 0.40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PALBI score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-2.47 (-2.67, -2.25)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-2.43 (-2.67, -2.17)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-2.64 (-2.80, -2.41)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APRI score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0.52 (0.35, 0.84)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0.48 (0.34, 0.85)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0.64 (0.38, 1.19)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Tumour size (cm)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(4.0, 1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(4.0, 1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5.7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(4, 1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0.387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Tumour number,  Multiple/ Single 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239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26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.6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) / 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661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73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.4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73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24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2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27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75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101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5.9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) / 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286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Portal invasion 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Yes / No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103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11.4%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) / 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761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84.6%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29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9.7%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2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71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3%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30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7.7%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) / 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357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92.3%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0.393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BCLC stage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31 (3.4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) 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 (4.0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29 (7.5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560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62.2%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97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65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242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62.5%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06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22.9%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) 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62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20.6%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82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21.3%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03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1.5%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29 (9.7%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34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8.7%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Operation time (min)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193 (160, 240)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200 (165, 250)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190 (160, 240)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0.172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GuardianTextEgypGR-Regular"/>
                <w:color w:val="1A171C"/>
                <w:kern w:val="0"/>
                <w:sz w:val="24"/>
              </w:rPr>
            </w:pPr>
            <w:r>
              <w:rPr>
                <w:rFonts w:ascii="Times New Roman" w:hAnsi="Times New Roman" w:eastAsia="GuardianTextEgypGR-Regular"/>
                <w:color w:val="1A171C"/>
                <w:kern w:val="0"/>
                <w:sz w:val="24"/>
              </w:rPr>
              <w:t>Blood loss, ≥400 / &lt;400 (mL)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346 (38.4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554 (61.6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114 (38.0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186 (62.0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136 (35.1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251 (64.9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GuardianTextEgypGR-Regular" w:cs="Times New Roman"/>
                <w:color w:val="1A171C"/>
                <w:kern w:val="0"/>
                <w:sz w:val="24"/>
              </w:rPr>
            </w:pPr>
            <w:r>
              <w:rPr>
                <w:rFonts w:hint="default" w:ascii="Times New Roman" w:hAnsi="Times New Roman" w:eastAsia="GuardianTextEgypGR-Regular" w:cs="Times New Roman"/>
                <w:color w:val="1A171C"/>
                <w:kern w:val="0"/>
                <w:sz w:val="24"/>
              </w:rPr>
              <w:t>Blood transfusion,Yes / No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59 (6.6%) / 841 (93.4%)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21 (7.0%) / 279 (93.0%)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42 (10.9%) / 345 (89.1%)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0.026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GuardianTextEgypGR-Regular" w:cs="Times New Roman"/>
                <w:color w:val="1A171C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eTLV (mL)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1212.2 ± 109.6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1208.6 ± 107.5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1212.0 ± 113.0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0.874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GuardianTextEgypGR-Regular" w:cs="Times New Roman"/>
                <w:color w:val="1A171C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FLR (mL)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939.6 (791.2, 1042.5)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919.8 (780.8, 1028.8)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948.2 (840.6, 1045.9)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0.053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GuardianTextEgypGR-Regular" w:cs="Times New Roman"/>
                <w:color w:val="1A171C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sFLR (%)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69.0 (34.0, 85.0)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67.9 (36.0, 84.2)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69.6 (37.0, 86.0)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GuardianTextEgypGR-Regular" w:cs="Times New Roman"/>
                <w:color w:val="1A171C"/>
                <w:kern w:val="0"/>
                <w:sz w:val="24"/>
              </w:rPr>
            </w:pPr>
            <w:r>
              <w:rPr>
                <w:rFonts w:hint="default" w:ascii="Times New Roman" w:hAnsi="Times New Roman" w:eastAsia="GuardianTextEgypGR-Regular" w:cs="Times New Roman"/>
                <w:color w:val="1A171C"/>
                <w:kern w:val="0"/>
                <w:sz w:val="24"/>
              </w:rPr>
              <w:t>Hepatic vascular occlusion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0.903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No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243 (27.0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80 (26.7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111(28.7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HVC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283 (31.4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89 (29.7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114 (29.5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THVE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374 (41.6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131 (43.7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162 (41.8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Cirrhosis, Yes / No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389 (43.2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 / 511 (56.8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149 (49.7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 / 151 (50.3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190 (49.1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 / 197 (51.9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0.052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PHLF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214 (23.8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 / 686 (76.2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63 (21.0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 / 237 (79.0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145 (37.5) / 242 (62.5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Grade 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93 (10.3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 (10.0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67 (17.3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89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Arial"/>
                <w:color w:val="000000"/>
                <w:kern w:val="0"/>
                <w:sz w:val="24"/>
              </w:rPr>
              <w:t>＜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Grade B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114 (12.7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 (10.7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 (18.1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889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Grade C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 (0.8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(0.9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 (2.1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889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Grade B/C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121 (13.</w:t>
            </w:r>
            <w:r>
              <w:rPr>
                <w:rFonts w:hint="eastAsia" w:ascii="Times New Roman" w:hAnsi="Times New Roman"/>
                <w:sz w:val="24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sz w:val="24"/>
              </w:rPr>
              <w:t>)/779 (86.</w:t>
            </w:r>
            <w:r>
              <w:rPr>
                <w:rFonts w:hint="eastAsia" w:ascii="Times New Roman" w:hAnsi="Times New Roman"/>
                <w:sz w:val="24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257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35 (11.6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267 (88.4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78 (20.2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 / 309 (79.8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%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0.001</w:t>
            </w:r>
          </w:p>
        </w:tc>
      </w:tr>
    </w:tbl>
    <w:p>
      <w:pPr>
        <w:ind w:left="210" w:hanging="210" w:hangingChars="1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Note: Data are mean ± SD or median (IQR 25–75) unless otherwise indicated.</w:t>
      </w:r>
    </w:p>
    <w:p>
      <w:pPr>
        <w:autoSpaceDE w:val="0"/>
        <w:autoSpaceDN w:val="0"/>
        <w:adjustRightInd w:val="0"/>
        <w:outlineLvl w:val="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Abbreviations: BMI, body mass index; </w:t>
      </w:r>
      <w:r>
        <w:rPr>
          <w:rFonts w:ascii="Times New Roman" w:hAnsi="Times New Roman"/>
          <w:szCs w:val="21"/>
        </w:rPr>
        <w:t>HbsAg</w:t>
      </w:r>
      <w:r>
        <w:rPr>
          <w:rFonts w:hint="eastAsia" w:ascii="Times New Roman" w:hAnsi="Times New Roman"/>
          <w:szCs w:val="21"/>
        </w:rPr>
        <w:t xml:space="preserve">, </w:t>
      </w:r>
      <w:r>
        <w:rPr>
          <w:rFonts w:ascii="Times New Roman" w:hAnsi="Times New Roman"/>
          <w:szCs w:val="21"/>
        </w:rPr>
        <w:t>hepatitis B surface antigen</w:t>
      </w:r>
      <w:r>
        <w:rPr>
          <w:rFonts w:hint="eastAsia" w:ascii="Times New Roman" w:hAnsi="Times New Roman"/>
          <w:szCs w:val="21"/>
        </w:rPr>
        <w:t>; HBV-DNA, hepatitis B virus DNA; PLT, platelet; T</w:t>
      </w:r>
      <w:r>
        <w:rPr>
          <w:rFonts w:hint="eastAsia" w:ascii="Times New Roman" w:hAnsi="Times New Roman"/>
          <w:szCs w:val="21"/>
          <w:lang w:val="en-US" w:eastAsia="zh-CN"/>
        </w:rPr>
        <w:t>-</w:t>
      </w:r>
      <w:r>
        <w:rPr>
          <w:rFonts w:hint="eastAsia" w:ascii="Times New Roman" w:hAnsi="Times New Roman"/>
          <w:szCs w:val="21"/>
        </w:rPr>
        <w:t>B</w:t>
      </w:r>
      <w:r>
        <w:rPr>
          <w:rFonts w:hint="eastAsia" w:ascii="Times New Roman" w:hAnsi="Times New Roman"/>
          <w:szCs w:val="21"/>
          <w:lang w:val="en-US" w:eastAsia="zh-CN"/>
        </w:rPr>
        <w:t>il</w:t>
      </w:r>
      <w:r>
        <w:rPr>
          <w:rFonts w:hint="eastAsia" w:ascii="Times New Roman" w:hAnsi="Times New Roman"/>
          <w:szCs w:val="21"/>
        </w:rPr>
        <w:t xml:space="preserve">, total bilirubin; PA, prealbumin; ALB, albumin; ALT, alanine aminotransferase; AST, aspartate aminotransferase; CR, creatinine; BUN, blood urine nitrogen; PT, prothrombin time; INR, international normalized ratio; </w:t>
      </w:r>
      <w:r>
        <w:rPr>
          <w:rFonts w:ascii="Times New Roman" w:hAnsi="Times New Roman"/>
          <w:szCs w:val="21"/>
        </w:rPr>
        <w:t xml:space="preserve">MELD, model for end-stage liver disease; ALBI, albumin–bilirubin; </w:t>
      </w:r>
      <w:r>
        <w:rPr>
          <w:rFonts w:hint="eastAsia" w:ascii="Times New Roman" w:hAnsi="Times New Roman"/>
          <w:szCs w:val="21"/>
        </w:rPr>
        <w:t xml:space="preserve">PALBI, platelet-albumin-bilirubin; APRI, aspartate aminotransferase to platelet ratio index; AFP, </w:t>
      </w:r>
      <w:r>
        <w:rPr>
          <w:rFonts w:ascii="Times New Roman" w:hAnsi="Times New Roman"/>
          <w:szCs w:val="21"/>
        </w:rPr>
        <w:t>α</w:t>
      </w:r>
      <w:r>
        <w:rPr>
          <w:rFonts w:hint="eastAsia" w:ascii="Times New Roman" w:hAnsi="Times New Roman"/>
          <w:szCs w:val="21"/>
        </w:rPr>
        <w:t>-Fetoprotein; CSPH, clinically signifcant po</w:t>
      </w:r>
      <w:r>
        <w:rPr>
          <w:rFonts w:ascii="Times New Roman" w:hAnsi="Times New Roman"/>
          <w:szCs w:val="21"/>
        </w:rPr>
        <w:t>rtal hypertension; BCLC, Barcelona Clinic Liver Cancer;</w:t>
      </w:r>
      <w:r>
        <w:rPr>
          <w:rFonts w:hint="eastAsia" w:ascii="Times New Roman" w:hAnsi="Times New Roman"/>
          <w:szCs w:val="21"/>
        </w:rPr>
        <w:t xml:space="preserve"> eTLV</w:t>
      </w:r>
      <w:r>
        <w:rPr>
          <w:rFonts w:hint="eastAsia" w:ascii="Times New Roman" w:hAnsi="Times New Roman"/>
          <w:szCs w:val="21"/>
          <w:lang w:val="en-US" w:eastAsia="zh-CN"/>
        </w:rPr>
        <w:t xml:space="preserve">, </w:t>
      </w:r>
      <w:r>
        <w:rPr>
          <w:rFonts w:hint="eastAsia" w:ascii="Times New Roman" w:hAnsi="Times New Roman"/>
          <w:szCs w:val="21"/>
        </w:rPr>
        <w:t>estimated total liver volume</w:t>
      </w:r>
      <w:r>
        <w:rPr>
          <w:rFonts w:hint="eastAsia" w:ascii="Times New Roman" w:hAnsi="Times New Roman"/>
          <w:szCs w:val="21"/>
          <w:lang w:val="en-US" w:eastAsia="zh-CN"/>
        </w:rPr>
        <w:t xml:space="preserve">; FLR, future liver remnant; </w:t>
      </w:r>
      <w:r>
        <w:rPr>
          <w:rFonts w:hint="eastAsia" w:ascii="Times New Roman" w:hAnsi="Times New Roman"/>
          <w:szCs w:val="21"/>
        </w:rPr>
        <w:t>sFLR, standard future Liver remnant;</w:t>
      </w:r>
      <w:r>
        <w:rPr>
          <w:rFonts w:ascii="Times New Roman" w:hAnsi="Times New Roman"/>
          <w:szCs w:val="21"/>
        </w:rPr>
        <w:t xml:space="preserve"> HVC, </w:t>
      </w:r>
      <w:r>
        <w:rPr>
          <w:rFonts w:hint="eastAsia" w:ascii="Times New Roman" w:hAnsi="Times New Roman"/>
          <w:szCs w:val="21"/>
        </w:rPr>
        <w:t>h</w:t>
      </w:r>
      <w:r>
        <w:rPr>
          <w:rFonts w:ascii="Times New Roman" w:hAnsi="Times New Roman"/>
          <w:szCs w:val="21"/>
        </w:rPr>
        <w:t>emilhepatic vascular control;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THVE, total hepatic vascular exclusion</w:t>
      </w:r>
      <w:r>
        <w:rPr>
          <w:rFonts w:hint="eastAsia" w:ascii="Times New Roman" w:hAnsi="Times New Roman"/>
          <w:szCs w:val="21"/>
        </w:rPr>
        <w:t>; PHLF, posthepatectomy liver failure.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uardianTextEgypGR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F0AA2"/>
    <w:rsid w:val="77AF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Arial" w:hAnsi="Arial" w:eastAsia="黑体"/>
      <w:sz w:val="20"/>
      <w:szCs w:val="24"/>
    </w:rPr>
  </w:style>
  <w:style w:type="character" w:customStyle="1" w:styleId="5">
    <w:name w:val="font11"/>
    <w:basedOn w:val="4"/>
    <w:qFormat/>
    <w:uiPriority w:val="0"/>
    <w:rPr>
      <w:rFonts w:hint="default" w:ascii="Calibri" w:hAnsi="Calibri" w:cs="Calibri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2020-03-08T02:36:00Z</dcterms:created>
  <dc:creator>Administrator</dc:creator>
  <cp:lastModifiedBy>Administrator</cp:lastModifiedBy>
  <dcterms:modified xsi:type="dcterms:W3CDTF">2020-03-08T02:37:06Z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